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B2B5D">
      <w:pPr>
        <w:widowControl w:val="0"/>
        <w:spacing w:line="580" w:lineRule="exact"/>
        <w:jc w:val="center"/>
        <w:rPr>
          <w:rFonts w:ascii="黑体" w:hAnsi="黑体" w:eastAsia="黑体" w:cs="黑体"/>
          <w:sz w:val="40"/>
          <w:szCs w:val="40"/>
          <w:lang w:eastAsia="zh-CN"/>
        </w:rPr>
      </w:pPr>
      <w:r>
        <w:rPr>
          <w:rFonts w:hint="eastAsia" w:ascii="黑体" w:hAnsi="黑体" w:eastAsia="黑体" w:cs="黑体"/>
          <w:sz w:val="40"/>
          <w:szCs w:val="40"/>
          <w:lang w:eastAsia="zh-CN"/>
        </w:rPr>
        <w:t>第四届湖南省高校研究生创新设计大赛方案</w:t>
      </w:r>
    </w:p>
    <w:p w14:paraId="32491B54">
      <w:pPr>
        <w:widowControl w:val="0"/>
        <w:snapToGrid w:val="0"/>
        <w:spacing w:after="0" w:line="600" w:lineRule="exact"/>
        <w:jc w:val="both"/>
        <w:rPr>
          <w:rFonts w:ascii="黑体" w:hAnsi="黑体" w:eastAsia="黑体" w:cs="黑体"/>
          <w:sz w:val="28"/>
          <w:szCs w:val="28"/>
          <w:lang w:eastAsia="zh-CN"/>
        </w:rPr>
      </w:pPr>
      <w:r>
        <w:rPr>
          <w:rFonts w:hint="eastAsia" w:ascii="黑体" w:hAnsi="黑体" w:eastAsia="黑体" w:cs="黑体"/>
          <w:sz w:val="28"/>
          <w:szCs w:val="28"/>
          <w:lang w:eastAsia="zh-CN"/>
        </w:rPr>
        <w:t xml:space="preserve">    一、大赛目的与宗旨</w:t>
      </w:r>
    </w:p>
    <w:p w14:paraId="281CB2EE">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20</w:t>
      </w:r>
      <w:r>
        <w:rPr>
          <w:rFonts w:hint="eastAsia" w:ascii="Times New Roman" w:hAnsi="Times New Roman" w:eastAsia="仿宋" w:cs="Times New Roman"/>
          <w:sz w:val="28"/>
          <w:szCs w:val="28"/>
          <w:lang w:eastAsia="zh-CN"/>
        </w:rPr>
        <w:t>25</w:t>
      </w:r>
      <w:r>
        <w:rPr>
          <w:rFonts w:ascii="Times New Roman" w:hAnsi="Times New Roman" w:eastAsia="仿宋" w:cs="Times New Roman"/>
          <w:sz w:val="28"/>
          <w:szCs w:val="28"/>
          <w:lang w:eastAsia="zh-CN"/>
        </w:rPr>
        <w:t>年湖南省</w:t>
      </w:r>
      <w:r>
        <w:rPr>
          <w:rFonts w:hint="eastAsia" w:ascii="Times New Roman" w:hAnsi="Times New Roman" w:eastAsia="仿宋" w:cs="Times New Roman"/>
          <w:sz w:val="28"/>
          <w:szCs w:val="28"/>
          <w:lang w:eastAsia="zh-CN"/>
        </w:rPr>
        <w:t>高校研究生创新设计大赛</w:t>
      </w:r>
      <w:r>
        <w:rPr>
          <w:rFonts w:ascii="Times New Roman" w:hAnsi="Times New Roman" w:eastAsia="仿宋" w:cs="Times New Roman"/>
          <w:sz w:val="28"/>
          <w:szCs w:val="28"/>
          <w:lang w:eastAsia="zh-CN"/>
        </w:rPr>
        <w:t>是根据湖南省教育厅《</w:t>
      </w:r>
      <w:r>
        <w:rPr>
          <w:rFonts w:hint="eastAsia" w:ascii="Times New Roman" w:hAnsi="Times New Roman" w:eastAsia="仿宋" w:cs="Times New Roman"/>
          <w:sz w:val="28"/>
          <w:szCs w:val="28"/>
          <w:lang w:eastAsia="zh-CN"/>
        </w:rPr>
        <w:t>关于公布2025年湖南省研究生教育“两项工程”系列活动名单的通知</w:t>
      </w:r>
      <w:r>
        <w:rPr>
          <w:rFonts w:ascii="Times New Roman" w:hAnsi="Times New Roman" w:eastAsia="仿宋" w:cs="Times New Roman"/>
          <w:sz w:val="28"/>
          <w:szCs w:val="28"/>
          <w:lang w:eastAsia="zh-CN"/>
        </w:rPr>
        <w:t>》</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lang w:eastAsia="zh-CN"/>
        </w:rPr>
        <w:t>湘教通〔202</w:t>
      </w:r>
      <w:r>
        <w:rPr>
          <w:rFonts w:hint="eastAsia" w:ascii="Times New Roman" w:hAnsi="Times New Roman" w:eastAsia="仿宋" w:cs="Times New Roman"/>
          <w:sz w:val="28"/>
          <w:szCs w:val="28"/>
          <w:lang w:eastAsia="zh-CN"/>
        </w:rPr>
        <w:t>5</w:t>
      </w:r>
      <w:r>
        <w:rPr>
          <w:rFonts w:ascii="Times New Roman" w:hAnsi="Times New Roman" w:eastAsia="仿宋" w:cs="Times New Roman"/>
          <w:sz w:val="28"/>
          <w:szCs w:val="28"/>
          <w:lang w:eastAsia="zh-CN"/>
        </w:rPr>
        <w:t>〕</w:t>
      </w:r>
      <w:r>
        <w:rPr>
          <w:rFonts w:hint="eastAsia" w:ascii="Times New Roman" w:hAnsi="Times New Roman" w:eastAsia="仿宋" w:cs="Times New Roman"/>
          <w:sz w:val="28"/>
          <w:szCs w:val="28"/>
          <w:lang w:eastAsia="zh-CN"/>
        </w:rPr>
        <w:t>102</w:t>
      </w:r>
      <w:r>
        <w:rPr>
          <w:rFonts w:ascii="Times New Roman" w:hAnsi="Times New Roman" w:eastAsia="仿宋" w:cs="Times New Roman"/>
          <w:sz w:val="28"/>
          <w:szCs w:val="28"/>
          <w:lang w:eastAsia="zh-CN"/>
        </w:rPr>
        <w:t xml:space="preserve"> 号</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lang w:eastAsia="zh-CN"/>
        </w:rPr>
        <w:t>精神而举办的全省普通高校大学生学科竞赛活动，大赛旨在</w:t>
      </w:r>
      <w:r>
        <w:rPr>
          <w:rFonts w:hint="eastAsia" w:ascii="Times New Roman" w:hAnsi="Times New Roman" w:eastAsia="仿宋" w:cs="Times New Roman"/>
          <w:sz w:val="28"/>
          <w:szCs w:val="28"/>
          <w:lang w:eastAsia="zh-CN"/>
        </w:rPr>
        <w:t>全面贯彻落实全国教育大会、全国研究生教育会议精神和</w:t>
      </w:r>
      <w:r>
        <w:rPr>
          <w:rFonts w:ascii="Times New Roman" w:hAnsi="Times New Roman" w:eastAsia="仿宋" w:cs="Times New Roman"/>
          <w:sz w:val="28"/>
          <w:szCs w:val="28"/>
          <w:lang w:eastAsia="zh-CN"/>
        </w:rPr>
        <w:t>《</w:t>
      </w:r>
      <w:r>
        <w:rPr>
          <w:rFonts w:hint="eastAsia" w:ascii="Times New Roman" w:hAnsi="Times New Roman" w:eastAsia="仿宋" w:cs="Times New Roman"/>
          <w:sz w:val="28"/>
          <w:szCs w:val="28"/>
          <w:lang w:eastAsia="zh-CN"/>
        </w:rPr>
        <w:t>教育部 国家发展改革委 财政部关于加快新时代研究生教育改革发展的意见》（教研〔2020〕9号），引导和鼓励广大研究生锻炼和培养学习能力、实践动手能力、研究创新能力和团队协作精神，全面提高设计人才培养质量，推进新时代研究生教育高质量发展。经省教育厅同意，决定举办第四届湖南省高校研究生创新设计大赛。</w:t>
      </w:r>
    </w:p>
    <w:p w14:paraId="566FC288">
      <w:pPr>
        <w:widowControl w:val="0"/>
        <w:snapToGrid w:val="0"/>
        <w:spacing w:after="0" w:line="600" w:lineRule="exact"/>
        <w:jc w:val="both"/>
        <w:rPr>
          <w:rFonts w:ascii="黑体" w:hAnsi="黑体" w:eastAsia="黑体" w:cs="黑体"/>
          <w:sz w:val="28"/>
          <w:szCs w:val="28"/>
          <w:lang w:eastAsia="zh-CN"/>
        </w:rPr>
      </w:pPr>
      <w:r>
        <w:rPr>
          <w:rFonts w:hint="eastAsia" w:ascii="黑体" w:hAnsi="黑体" w:eastAsia="黑体" w:cs="黑体"/>
          <w:sz w:val="28"/>
          <w:szCs w:val="28"/>
          <w:lang w:eastAsia="zh-CN"/>
        </w:rPr>
        <w:t xml:space="preserve">    二、大赛组织</w:t>
      </w:r>
    </w:p>
    <w:p w14:paraId="11827F7C">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1.2025年</w:t>
      </w:r>
      <w:r>
        <w:rPr>
          <w:rFonts w:ascii="Times New Roman" w:hAnsi="Times New Roman" w:eastAsia="仿宋" w:cs="Times New Roman"/>
          <w:sz w:val="28"/>
          <w:szCs w:val="28"/>
          <w:lang w:eastAsia="zh-CN"/>
        </w:rPr>
        <w:t>湖南省</w:t>
      </w:r>
      <w:r>
        <w:rPr>
          <w:rFonts w:hint="eastAsia" w:ascii="Times New Roman" w:hAnsi="Times New Roman" w:eastAsia="仿宋" w:cs="Times New Roman"/>
          <w:sz w:val="28"/>
          <w:szCs w:val="28"/>
          <w:lang w:eastAsia="zh-CN"/>
        </w:rPr>
        <w:t>高校研究生创新设计大赛由湖南省教育厅主办，南华大学承办，湖南省教育厅学位管理与</w:t>
      </w:r>
      <w:r>
        <w:rPr>
          <w:rFonts w:ascii="Times New Roman" w:hAnsi="Times New Roman" w:eastAsia="仿宋" w:cs="Times New Roman"/>
          <w:sz w:val="28"/>
          <w:szCs w:val="28"/>
          <w:lang w:eastAsia="zh-CN"/>
        </w:rPr>
        <w:t>研究生教育处</w:t>
      </w:r>
      <w:r>
        <w:rPr>
          <w:rFonts w:hint="eastAsia" w:ascii="Times New Roman" w:hAnsi="Times New Roman" w:eastAsia="仿宋" w:cs="Times New Roman"/>
          <w:sz w:val="28"/>
          <w:szCs w:val="28"/>
          <w:lang w:eastAsia="zh-CN"/>
        </w:rPr>
        <w:t>负责指导和管理，大赛设立</w:t>
      </w:r>
      <w:r>
        <w:rPr>
          <w:rFonts w:ascii="Times New Roman" w:hAnsi="Times New Roman" w:eastAsia="仿宋" w:cs="Times New Roman"/>
          <w:sz w:val="28"/>
          <w:szCs w:val="28"/>
          <w:lang w:eastAsia="zh-CN"/>
        </w:rPr>
        <w:t>湖南省</w:t>
      </w:r>
      <w:r>
        <w:rPr>
          <w:rFonts w:hint="eastAsia" w:ascii="Times New Roman" w:hAnsi="Times New Roman" w:eastAsia="仿宋" w:cs="Times New Roman"/>
          <w:sz w:val="28"/>
          <w:szCs w:val="28"/>
          <w:lang w:eastAsia="zh-CN"/>
        </w:rPr>
        <w:t>高校研究生创新设计大赛组委会，负责组织实施大赛各项工作。竞赛组委会秘书处设在南华大学松霖建筑与设计艺术学院，负责大赛的日常工作。大赛诚邀热心支持大赛的行业企业、事业单位及媒体等参与大赛组织活动。</w:t>
      </w:r>
    </w:p>
    <w:p w14:paraId="5638FFC4">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2.根据省教育厅文件要求，为了扩大学生的参与面与受益面，各高等学校要认真组织好校级比赛，省内各高校依据本大赛办法成立相应大赛组委会组织校级竞赛，择优推荐本校学生参加省级比赛。不组织校级竞赛的高校，不得参加省级竞赛。</w:t>
      </w:r>
    </w:p>
    <w:p w14:paraId="0F02FFC0">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3.大赛成立由南华大学分管校领导牵头，研究生院、松霖建筑与设计艺术学院、后勤处、保卫处、纪委等校内相关部门共同参与的领导协调机构。竞赛组委会负责完善组织流程和工作机制，提前制定线下评审活动方案。</w:t>
      </w:r>
    </w:p>
    <w:p w14:paraId="6909F062">
      <w:pPr>
        <w:widowControl w:val="0"/>
        <w:snapToGrid w:val="0"/>
        <w:spacing w:after="0" w:line="600" w:lineRule="exact"/>
        <w:jc w:val="both"/>
        <w:rPr>
          <w:rFonts w:ascii="黑体" w:hAnsi="黑体" w:eastAsia="黑体" w:cs="黑体"/>
          <w:sz w:val="28"/>
          <w:szCs w:val="28"/>
          <w:lang w:eastAsia="zh-CN"/>
        </w:rPr>
      </w:pPr>
      <w:r>
        <w:rPr>
          <w:rFonts w:hint="eastAsia" w:ascii="黑体" w:hAnsi="黑体" w:eastAsia="黑体" w:cs="黑体"/>
          <w:sz w:val="28"/>
          <w:szCs w:val="28"/>
          <w:lang w:eastAsia="zh-CN"/>
        </w:rPr>
        <w:t xml:space="preserve">    三、参赛对象与参赛方式</w:t>
      </w:r>
    </w:p>
    <w:p w14:paraId="51A04711">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1.参赛对象</w:t>
      </w:r>
    </w:p>
    <w:p w14:paraId="550BD2D1">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2025年湖南省高校研究生创新设计大赛主要面向设计学科，参赛对象主要为省内普通高校具有正式学籍的在读研究生（含全日制和非全日制），鼓励不同学科、专业学生跨学科、跨专业报名参赛。可以个人或小组的形式参赛，每个参赛小组的学生人数不得多于5人，指导教师不多于2人。每名参赛者作为第一作者提交的作品数不得超过3件。</w:t>
      </w:r>
    </w:p>
    <w:p w14:paraId="0CC8DA23">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2.参赛方式</w:t>
      </w:r>
    </w:p>
    <w:p w14:paraId="7BBC54A1">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比赛面向全省所有高校，实行校、省两级竞赛制度。各高校组织校级比赛，并以院校为单位，统一推荐优秀学生和作品参加省级比赛。</w:t>
      </w:r>
    </w:p>
    <w:p w14:paraId="6A40FE58">
      <w:pPr>
        <w:widowControl w:val="0"/>
        <w:snapToGrid w:val="0"/>
        <w:spacing w:after="0" w:line="600" w:lineRule="exact"/>
        <w:jc w:val="both"/>
        <w:rPr>
          <w:rFonts w:ascii="黑体" w:hAnsi="黑体" w:eastAsia="黑体" w:cs="黑体"/>
          <w:sz w:val="28"/>
          <w:szCs w:val="28"/>
          <w:lang w:eastAsia="zh-CN"/>
        </w:rPr>
      </w:pPr>
      <w:r>
        <w:rPr>
          <w:rFonts w:hint="eastAsia" w:ascii="黑体" w:hAnsi="黑体" w:eastAsia="黑体" w:cs="黑体"/>
          <w:sz w:val="28"/>
          <w:szCs w:val="28"/>
          <w:lang w:eastAsia="zh-CN"/>
        </w:rPr>
        <w:t xml:space="preserve">    四、大赛赛制</w:t>
      </w:r>
    </w:p>
    <w:p w14:paraId="7FA42D02">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大赛分初评、复评、终评三个阶段，由省内各院校组织学生参赛，组委会组织评奖。</w:t>
      </w:r>
    </w:p>
    <w:p w14:paraId="338A018B">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1.初评（校级评审）</w:t>
      </w:r>
    </w:p>
    <w:p w14:paraId="16BE5988">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由各校级竞赛组委会负责组织本校的宣传与评审活动。各校级竞赛组委会组织专家对所有的参赛作品进行评审，产生本校获奖作品。校级竞赛组织、评审方式参照省级竞赛方案制定。每所参赛院校可选送规定数量的优秀作品参加省级复评（各类优秀作品规定数量：A类50件；B类50件；C类50件；D类30件；E类30件; F类30件）。</w:t>
      </w:r>
    </w:p>
    <w:p w14:paraId="7E31F85B">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2.复评（省级评审）</w:t>
      </w:r>
    </w:p>
    <w:p w14:paraId="09D30A6F">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湖南省</w:t>
      </w:r>
      <w:r>
        <w:rPr>
          <w:rFonts w:hint="eastAsia" w:ascii="Times New Roman" w:hAnsi="Times New Roman" w:eastAsia="仿宋" w:cs="Times New Roman"/>
          <w:sz w:val="28"/>
          <w:szCs w:val="28"/>
          <w:lang w:eastAsia="zh-CN"/>
        </w:rPr>
        <w:t>高校研究生创新设计大赛组委会成立复评委员会对各校级赛区推荐的优秀作品进行评审，评选出不超过参赛作品总数40%的优秀作品进入终评。</w:t>
      </w:r>
    </w:p>
    <w:p w14:paraId="2701CCFC">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3.终评（省级评审）</w:t>
      </w:r>
    </w:p>
    <w:p w14:paraId="0E73E94C">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湖南省高校研究生创新设计大赛组委会成立终评委员会对进入终评作品进行评审，产生一、二、三等奖（在终评作品中所占比例分别为20%、30%和50%）。</w:t>
      </w:r>
    </w:p>
    <w:p w14:paraId="28199A36">
      <w:pPr>
        <w:widowControl w:val="0"/>
        <w:snapToGrid w:val="0"/>
        <w:spacing w:after="0" w:line="600" w:lineRule="exact"/>
        <w:jc w:val="both"/>
        <w:rPr>
          <w:rFonts w:ascii="黑体" w:hAnsi="黑体" w:eastAsia="黑体" w:cs="黑体"/>
          <w:sz w:val="28"/>
          <w:szCs w:val="28"/>
          <w:lang w:eastAsia="zh-CN"/>
        </w:rPr>
      </w:pPr>
      <w:r>
        <w:rPr>
          <w:rFonts w:hint="eastAsia" w:ascii="黑体" w:hAnsi="黑体" w:eastAsia="黑体" w:cs="黑体"/>
          <w:sz w:val="28"/>
          <w:szCs w:val="28"/>
          <w:lang w:eastAsia="zh-CN"/>
        </w:rPr>
        <w:t xml:space="preserve">    五、奖项设置及表彰</w:t>
      </w:r>
    </w:p>
    <w:p w14:paraId="589D22D2">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1.全省终评设立一、二、三等奖，其中一等奖不超过省赛作品总数的8%，二等奖不超过省赛作品总数的12%，三等奖不超过省赛作品总数的20%。对组织工作突出的六所学校，认定为优秀组织高校。获得一等奖作品的第一指导教师，认定为优秀指导教师。</w:t>
      </w:r>
    </w:p>
    <w:p w14:paraId="3ED04B04">
      <w:pPr>
        <w:widowControl w:val="0"/>
        <w:snapToGrid w:val="0"/>
        <w:spacing w:after="0" w:line="600" w:lineRule="exact"/>
        <w:ind w:firstLine="560" w:firstLineChars="200"/>
        <w:jc w:val="both"/>
        <w:rPr>
          <w:rFonts w:ascii="黑体" w:hAnsi="黑体" w:eastAsia="黑体" w:cs="黑体"/>
          <w:sz w:val="28"/>
          <w:szCs w:val="28"/>
          <w:lang w:eastAsia="zh-CN"/>
        </w:rPr>
      </w:pPr>
      <w:r>
        <w:rPr>
          <w:rFonts w:hint="eastAsia" w:ascii="Times New Roman" w:hAnsi="Times New Roman" w:eastAsia="仿宋" w:cs="Times New Roman"/>
          <w:sz w:val="28"/>
          <w:szCs w:val="28"/>
          <w:lang w:eastAsia="zh-CN"/>
        </w:rPr>
        <w:t>2.获奖的作品、优秀组织高校、优秀指导教师，将由省教育厅发文公布，并颁发获奖证书。各高校要认真落实教育部《关于鼓励教师积极参与指导大学生科技竞赛活动的通知》（高教司〔2003〕165号）和</w:t>
      </w:r>
      <w:r>
        <w:rPr>
          <w:rFonts w:ascii="Times New Roman" w:hAnsi="Times New Roman" w:eastAsia="仿宋" w:cs="Times New Roman"/>
          <w:sz w:val="28"/>
          <w:szCs w:val="28"/>
          <w:lang w:eastAsia="zh-CN"/>
        </w:rPr>
        <w:t>《</w:t>
      </w:r>
      <w:r>
        <w:rPr>
          <w:rFonts w:hint="eastAsia" w:ascii="Times New Roman" w:hAnsi="Times New Roman" w:eastAsia="仿宋" w:cs="Times New Roman"/>
          <w:sz w:val="28"/>
          <w:szCs w:val="28"/>
          <w:lang w:eastAsia="zh-CN"/>
        </w:rPr>
        <w:t>教育部 国家发展改革委 财政部关于加快新时代研究生教育改革发展的意见》（教研〔2020〕9号）精神，建立有效的激励机制，鼓励教师积极指导大学生学科竞赛活动，对参与指导的教师应计算一定的教学工作量，对优秀指导教师给予表彰奖励；对获奖学生，在评选优秀学生、奖学金、推荐免试研究生时予以适当鼓励。</w:t>
      </w:r>
    </w:p>
    <w:p w14:paraId="723D88B8">
      <w:pPr>
        <w:widowControl w:val="0"/>
        <w:snapToGrid w:val="0"/>
        <w:spacing w:after="0" w:line="600" w:lineRule="exact"/>
        <w:jc w:val="both"/>
        <w:rPr>
          <w:rFonts w:ascii="黑体" w:hAnsi="黑体" w:eastAsia="黑体" w:cs="黑体"/>
          <w:sz w:val="28"/>
          <w:szCs w:val="28"/>
          <w:lang w:eastAsia="zh-CN"/>
        </w:rPr>
      </w:pPr>
      <w:r>
        <w:rPr>
          <w:rFonts w:hint="eastAsia" w:ascii="黑体" w:hAnsi="黑体" w:eastAsia="黑体" w:cs="黑体"/>
          <w:sz w:val="28"/>
          <w:szCs w:val="28"/>
          <w:lang w:eastAsia="zh-CN"/>
        </w:rPr>
        <w:t xml:space="preserve">    六、命题说明</w:t>
      </w:r>
    </w:p>
    <w:p w14:paraId="71B0F0CE">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大</w:t>
      </w:r>
      <w:r>
        <w:rPr>
          <w:rFonts w:ascii="Times New Roman" w:hAnsi="Times New Roman" w:eastAsia="仿宋" w:cs="Times New Roman"/>
          <w:sz w:val="28"/>
          <w:szCs w:val="28"/>
          <w:lang w:eastAsia="zh-CN"/>
        </w:rPr>
        <w:t>赛采用开放式命题。只从宏观上限定</w:t>
      </w:r>
      <w:r>
        <w:rPr>
          <w:rFonts w:hint="eastAsia" w:ascii="Times New Roman" w:hAnsi="Times New Roman" w:eastAsia="仿宋" w:cs="Times New Roman"/>
          <w:sz w:val="28"/>
          <w:szCs w:val="28"/>
          <w:lang w:eastAsia="zh-CN"/>
        </w:rPr>
        <w:t>大赛</w:t>
      </w:r>
      <w:r>
        <w:rPr>
          <w:rFonts w:ascii="Times New Roman" w:hAnsi="Times New Roman" w:eastAsia="仿宋" w:cs="Times New Roman"/>
          <w:sz w:val="28"/>
          <w:szCs w:val="28"/>
          <w:lang w:eastAsia="zh-CN"/>
        </w:rPr>
        <w:t>的主题，即</w:t>
      </w:r>
      <w:r>
        <w:rPr>
          <w:rFonts w:hint="eastAsia" w:ascii="Times New Roman" w:hAnsi="Times New Roman" w:eastAsia="仿宋" w:cs="Times New Roman"/>
          <w:sz w:val="28"/>
          <w:szCs w:val="28"/>
          <w:lang w:eastAsia="zh-CN"/>
        </w:rPr>
        <w:t>“智慧文旅与生命健康”。参赛者均可自由选题，自主命题。但须符合以下要求：</w:t>
      </w:r>
    </w:p>
    <w:p w14:paraId="29F9E223">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1. 切合大赛“智慧文旅与生命健康”主题。</w:t>
      </w:r>
    </w:p>
    <w:p w14:paraId="5B9C69BD">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2. 弘扬主旋律，传播正能量，体现社会主义核心价值观。</w:t>
      </w:r>
    </w:p>
    <w:p w14:paraId="3C6C3C5A">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3. 作品题材不限，但须具有转化、应用的潜力和价值。</w:t>
      </w:r>
    </w:p>
    <w:p w14:paraId="315A91E0">
      <w:pPr>
        <w:widowControl w:val="0"/>
        <w:adjustRightInd w:val="0"/>
        <w:snapToGrid w:val="0"/>
        <w:spacing w:after="0" w:line="600" w:lineRule="exact"/>
        <w:ind w:firstLine="560" w:firstLineChars="200"/>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4. 本次</w:t>
      </w:r>
      <w:r>
        <w:rPr>
          <w:rFonts w:ascii="Times New Roman" w:hAnsi="Times New Roman" w:eastAsia="仿宋" w:cs="Times New Roman"/>
          <w:sz w:val="28"/>
          <w:szCs w:val="28"/>
          <w:lang w:eastAsia="zh-CN"/>
        </w:rPr>
        <w:t>赛事不接受以往参加过各类赛事的获奖作品</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lang w:eastAsia="zh-CN"/>
        </w:rPr>
        <w:t>拒绝一稿多投,一经发现取消参赛资格。</w:t>
      </w:r>
    </w:p>
    <w:p w14:paraId="3BCF675E">
      <w:pPr>
        <w:widowControl w:val="0"/>
        <w:snapToGrid w:val="0"/>
        <w:spacing w:after="0" w:line="600" w:lineRule="exact"/>
        <w:jc w:val="both"/>
        <w:rPr>
          <w:rFonts w:ascii="黑体" w:hAnsi="黑体" w:eastAsia="黑体" w:cs="黑体"/>
          <w:sz w:val="28"/>
          <w:szCs w:val="28"/>
          <w:lang w:eastAsia="zh-CN"/>
        </w:rPr>
      </w:pPr>
      <w:r>
        <w:rPr>
          <w:rFonts w:hint="eastAsia" w:ascii="黑体" w:hAnsi="黑体" w:eastAsia="黑体" w:cs="黑体"/>
          <w:sz w:val="28"/>
          <w:szCs w:val="28"/>
          <w:lang w:eastAsia="zh-CN"/>
        </w:rPr>
        <w:t xml:space="preserve">    七、参赛组类设置</w:t>
      </w:r>
    </w:p>
    <w:p w14:paraId="57AF7A3A">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同一作品，只能在以下五个组类中选择一个类别参赛。（因大赛评审分组进行，如发现同一作品在不同组类同时获奖的情况，将取消其全部获奖资格）</w:t>
      </w:r>
    </w:p>
    <w:p w14:paraId="2C9F2EC7">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A.平面类：各种形式的海报设计、包装设计、装帧设计、VI设计、插画、绘本、IP形象、吉祥物等。</w:t>
      </w:r>
    </w:p>
    <w:p w14:paraId="25C34A77">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B.产品类：包括各类机械设备、家用电器、教育产品、医疗产品、电子产品、玩具、家具、生活用品、服装服饰等。</w:t>
      </w:r>
    </w:p>
    <w:p w14:paraId="375628CD">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C.空间类：包括室内设计、景观设计、建筑设计、展示设计等。</w:t>
      </w:r>
    </w:p>
    <w:p w14:paraId="4A6E5247">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D.动画影像类：动画短片、动画电影，以及各类叙事性短视频、微电影、纪录片、剧情片、宣传片、艺术片、实验片等，要求时长不超过8分钟。</w:t>
      </w:r>
    </w:p>
    <w:p w14:paraId="6E4F3787">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E.智能科技类：新型技术装备、可穿戴设备、电子通讯、人工智能、虚拟现实、交互与界面设计、游戏设计、移动传播技术、数字未来设计等。</w:t>
      </w:r>
    </w:p>
    <w:p w14:paraId="24EB2EAF">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F.AI+医疗类：AI与医疗融合，涵盖辅助诊断、治疗康复、健康管理及科研支持等领域，如医学影像识别、康复机器人等智能化设计，旨在提升医疗效率与质量。</w:t>
      </w:r>
    </w:p>
    <w:p w14:paraId="7BE31BD6">
      <w:pPr>
        <w:widowControl w:val="0"/>
        <w:snapToGrid w:val="0"/>
        <w:spacing w:after="0" w:line="600" w:lineRule="exact"/>
        <w:jc w:val="both"/>
        <w:rPr>
          <w:rFonts w:ascii="黑体" w:hAnsi="黑体" w:eastAsia="黑体" w:cs="黑体"/>
          <w:sz w:val="28"/>
          <w:szCs w:val="28"/>
          <w:lang w:eastAsia="zh-CN"/>
        </w:rPr>
      </w:pPr>
      <w:r>
        <w:rPr>
          <w:rFonts w:hint="eastAsia" w:ascii="黑体" w:hAnsi="黑体" w:eastAsia="黑体" w:cs="黑体"/>
          <w:sz w:val="28"/>
          <w:szCs w:val="28"/>
          <w:lang w:eastAsia="zh-CN"/>
        </w:rPr>
        <w:t xml:space="preserve">    八、作品形式要求</w:t>
      </w:r>
    </w:p>
    <w:p w14:paraId="15D8B130">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要求以作品为单位，每个参赛作品建立一个文件夹，文件夹命名为“学校-组别-作品名-姓名-电话”（如“XX大学-平面-XX产品包装设计-张三-13912345678”）。为保证本次大赛评选的公正性，参赛作品中不得出现作者所在单位、姓名(包括英文或拼音缩写)或与作者身份有关的任何图标、图形等个人信息资料。</w:t>
      </w:r>
    </w:p>
    <w:p w14:paraId="4B6D0A1B">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1. A、B、C类作品提交形式：</w:t>
      </w:r>
    </w:p>
    <w:p w14:paraId="00590418">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参赛作品版面大小为 A3(297mm×420mm)图幅，横构图，jpg 格式，精度 300dpi;文件大小控制在10M以内。每件参赛作品不超过一个版面，版面内容包含主题、效果图（照片）、必要的结构图、基本外观尺寸图及设计说明等。</w:t>
      </w:r>
    </w:p>
    <w:p w14:paraId="16F1A45A">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2. D类作品提交形式：</w:t>
      </w:r>
    </w:p>
    <w:p w14:paraId="47BF0F45">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视频成品为MP4格式，清晰度为1080P（1920*1080），编码格式为H.264，配以中文字幕；如因格式原因评审中无法打开，则视为无效作品。作品应配以PPT文档辅助说明设计创意，文档内容包括剧本、创意说明、技术解析等必要内容。</w:t>
      </w:r>
    </w:p>
    <w:p w14:paraId="00B076D4">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3. E类作品提交形式：</w:t>
      </w:r>
    </w:p>
    <w:p w14:paraId="721A1F77">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可参照</w:t>
      </w:r>
      <w:r>
        <w:rPr>
          <w:rFonts w:hint="eastAsia" w:ascii="Times New Roman" w:hAnsi="Times New Roman" w:eastAsia="仿宋" w:cs="Times New Roman"/>
          <w:color w:val="000000" w:themeColor="text1"/>
          <w:sz w:val="28"/>
          <w:szCs w:val="28"/>
          <w:lang w:eastAsia="zh-CN"/>
          <w14:textFill>
            <w14:solidFill>
              <w14:schemeClr w14:val="tx1"/>
            </w14:solidFill>
          </w14:textFill>
        </w:rPr>
        <w:t>前三类作品提交2-3幅电子展板；也可参照D类作品，提交视频+PP</w:t>
      </w:r>
      <w:r>
        <w:rPr>
          <w:rFonts w:ascii="Times New Roman" w:hAnsi="Times New Roman" w:eastAsia="仿宋" w:cs="Times New Roman"/>
          <w:color w:val="000000" w:themeColor="text1"/>
          <w:sz w:val="28"/>
          <w:szCs w:val="28"/>
          <w:lang w:eastAsia="zh-CN"/>
          <w14:textFill>
            <w14:solidFill>
              <w14:schemeClr w14:val="tx1"/>
            </w14:solidFill>
          </w14:textFill>
        </w:rPr>
        <w:t>T设计</w:t>
      </w:r>
      <w:r>
        <w:rPr>
          <w:rFonts w:hint="eastAsia" w:ascii="Times New Roman" w:hAnsi="Times New Roman" w:eastAsia="仿宋" w:cs="Times New Roman"/>
          <w:color w:val="000000" w:themeColor="text1"/>
          <w:sz w:val="28"/>
          <w:szCs w:val="28"/>
          <w:lang w:eastAsia="zh-CN"/>
          <w14:textFill>
            <w14:solidFill>
              <w14:schemeClr w14:val="tx1"/>
            </w14:solidFill>
          </w14:textFill>
        </w:rPr>
        <w:t>说明。</w:t>
      </w:r>
    </w:p>
    <w:p w14:paraId="001F0C7F">
      <w:pPr>
        <w:widowControl w:val="0"/>
        <w:snapToGrid w:val="0"/>
        <w:spacing w:after="0" w:line="600" w:lineRule="exact"/>
        <w:jc w:val="both"/>
        <w:rPr>
          <w:rFonts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 xml:space="preserve">    九、赛事流程</w:t>
      </w:r>
    </w:p>
    <w:p w14:paraId="381DC3B9">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1.报名及作品提交（从省教育厅发文之日起至11月12日）</w:t>
      </w:r>
    </w:p>
    <w:p w14:paraId="6F4C8409">
      <w:pPr>
        <w:widowControl w:val="0"/>
        <w:snapToGrid w:val="0"/>
        <w:spacing w:after="0" w:line="600" w:lineRule="exact"/>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参赛者向所在院校报名参赛。</w:t>
      </w:r>
    </w:p>
    <w:p w14:paraId="60B9E8A1">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2.校级竞赛评审（11月15日前）</w:t>
      </w:r>
    </w:p>
    <w:p w14:paraId="411126F9">
      <w:pPr>
        <w:widowControl w:val="0"/>
        <w:snapToGrid w:val="0"/>
        <w:spacing w:after="0" w:line="600" w:lineRule="exact"/>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 xml:space="preserve">    各高校自行组织校级比赛，并进行校级初评，择优推荐参加省级比赛作品，并以院校为单位统一向大赛组委会提交经校级初评后的优秀作品与《2025年湖南省高校研究生创新设计大赛参赛信息汇总表》。加盖单位公章</w:t>
      </w:r>
      <w:r>
        <w:rPr>
          <w:rFonts w:ascii="Times New Roman" w:hAnsi="Times New Roman" w:eastAsia="仿宋" w:cs="Times New Roman"/>
          <w:color w:val="000000" w:themeColor="text1"/>
          <w:sz w:val="28"/>
          <w:szCs w:val="28"/>
          <w:lang w:eastAsia="zh-CN"/>
          <w14:textFill>
            <w14:solidFill>
              <w14:schemeClr w14:val="tx1"/>
            </w14:solidFill>
          </w14:textFill>
        </w:rPr>
        <w:t>后的</w:t>
      </w:r>
      <w:r>
        <w:rPr>
          <w:rFonts w:hint="eastAsia" w:ascii="Times New Roman" w:hAnsi="Times New Roman" w:eastAsia="仿宋" w:cs="Times New Roman"/>
          <w:color w:val="000000" w:themeColor="text1"/>
          <w:sz w:val="28"/>
          <w:szCs w:val="28"/>
          <w:lang w:eastAsia="zh-CN"/>
          <w14:textFill>
            <w14:solidFill>
              <w14:schemeClr w14:val="tx1"/>
            </w14:solidFill>
          </w14:textFill>
        </w:rPr>
        <w:t>汇总表扫描件（修改文件名为“附件3-院校-联系人及电话”，如“附件3-XX大学-</w:t>
      </w:r>
      <w:r>
        <w:rPr>
          <w:rFonts w:ascii="Times New Roman" w:hAnsi="Times New Roman" w:eastAsia="仿宋" w:cs="Times New Roman"/>
          <w:color w:val="000000" w:themeColor="text1"/>
          <w:sz w:val="28"/>
          <w:szCs w:val="28"/>
          <w:lang w:eastAsia="zh-CN"/>
          <w14:textFill>
            <w14:solidFill>
              <w14:schemeClr w14:val="tx1"/>
            </w14:solidFill>
          </w14:textFill>
        </w:rPr>
        <w:t>x</w:t>
      </w:r>
      <w:r>
        <w:rPr>
          <w:rFonts w:hint="eastAsia" w:ascii="Times New Roman" w:hAnsi="Times New Roman" w:eastAsia="仿宋" w:cs="Times New Roman"/>
          <w:color w:val="000000" w:themeColor="text1"/>
          <w:sz w:val="28"/>
          <w:szCs w:val="28"/>
          <w:lang w:eastAsia="zh-CN"/>
          <w14:textFill>
            <w14:solidFill>
              <w14:schemeClr w14:val="tx1"/>
            </w14:solidFill>
          </w14:textFill>
        </w:rPr>
        <w:t>老师13812345678.</w:t>
      </w:r>
      <w:r>
        <w:rPr>
          <w:rFonts w:ascii="Times New Roman" w:hAnsi="Times New Roman" w:eastAsia="仿宋" w:cs="Times New Roman"/>
          <w:color w:val="000000" w:themeColor="text1"/>
          <w:sz w:val="28"/>
          <w:szCs w:val="28"/>
          <w:lang w:eastAsia="zh-CN"/>
          <w14:textFill>
            <w14:solidFill>
              <w14:schemeClr w14:val="tx1"/>
            </w14:solidFill>
          </w14:textFill>
        </w:rPr>
        <w:t xml:space="preserve"> xlsx</w:t>
      </w:r>
      <w:r>
        <w:rPr>
          <w:rFonts w:hint="eastAsia" w:ascii="Times New Roman" w:hAnsi="Times New Roman" w:eastAsia="仿宋" w:cs="Times New Roman"/>
          <w:color w:val="000000" w:themeColor="text1"/>
          <w:sz w:val="28"/>
          <w:szCs w:val="28"/>
          <w:lang w:eastAsia="zh-CN"/>
          <w14:textFill>
            <w14:solidFill>
              <w14:schemeClr w14:val="tx1"/>
            </w14:solidFill>
          </w14:textFill>
        </w:rPr>
        <w:t>”），随</w:t>
      </w:r>
      <w:r>
        <w:rPr>
          <w:rFonts w:hint="eastAsia" w:ascii="Times New Roman" w:hAnsi="Times New Roman" w:eastAsia="仿宋" w:cs="Times New Roman"/>
          <w:color w:val="000000" w:themeColor="text1"/>
          <w:spacing w:val="-4"/>
          <w:sz w:val="28"/>
          <w:szCs w:val="28"/>
          <w:lang w:eastAsia="zh-CN"/>
          <w14:textFill>
            <w14:solidFill>
              <w14:schemeClr w14:val="tx1"/>
            </w14:solidFill>
          </w14:textFill>
        </w:rPr>
        <w:t>所有参赛资料文件夹一并发送至</w:t>
      </w:r>
      <w:r>
        <w:rPr>
          <w:rFonts w:ascii="Times New Roman" w:hAnsi="Times New Roman" w:eastAsia="仿宋" w:cs="Times New Roman"/>
          <w:color w:val="000000" w:themeColor="text1"/>
          <w:spacing w:val="-4"/>
          <w:sz w:val="28"/>
          <w:szCs w:val="28"/>
          <w:lang w:eastAsia="zh-CN"/>
          <w14:textFill>
            <w14:solidFill>
              <w14:schemeClr w14:val="tx1"/>
            </w14:solidFill>
          </w14:textFill>
        </w:rPr>
        <w:t>大赛组委会</w:t>
      </w:r>
      <w:r>
        <w:rPr>
          <w:rFonts w:hint="eastAsia" w:ascii="Times New Roman" w:hAnsi="Times New Roman" w:eastAsia="仿宋" w:cs="Times New Roman"/>
          <w:color w:val="000000" w:themeColor="text1"/>
          <w:spacing w:val="-4"/>
          <w:sz w:val="28"/>
          <w:szCs w:val="28"/>
          <w:lang w:eastAsia="zh-CN"/>
          <w14:textFill>
            <w14:solidFill>
              <w14:schemeClr w14:val="tx1"/>
            </w14:solidFill>
          </w14:textFill>
        </w:rPr>
        <w:t>邮箱（</w:t>
      </w:r>
      <w:r>
        <w:rPr>
          <w:rFonts w:hint="eastAsia" w:ascii="Times New Roman" w:hAnsi="Times New Roman" w:eastAsia="Times New Roman" w:cs="Times New Roman"/>
          <w:spacing w:val="-4"/>
          <w:sz w:val="28"/>
          <w:szCs w:val="28"/>
          <w:lang w:eastAsia="zh-CN"/>
        </w:rPr>
        <w:t>565124867@qq.com</w:t>
      </w:r>
      <w:r>
        <w:rPr>
          <w:rFonts w:hint="eastAsia" w:ascii="Times New Roman" w:hAnsi="Times New Roman" w:eastAsia="仿宋" w:cs="Times New Roman"/>
          <w:color w:val="000000" w:themeColor="text1"/>
          <w:spacing w:val="-4"/>
          <w:sz w:val="28"/>
          <w:szCs w:val="28"/>
          <w:lang w:eastAsia="zh-CN"/>
          <w14:textFill>
            <w14:solidFill>
              <w14:schemeClr w14:val="tx1"/>
            </w14:solidFill>
          </w14:textFill>
        </w:rPr>
        <w:t>）。</w:t>
      </w:r>
    </w:p>
    <w:p w14:paraId="5FAC4E9F">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3.省级复评（11月20日前）</w:t>
      </w:r>
    </w:p>
    <w:p w14:paraId="5543871A">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组委会对参赛作品进行统计与资格审查，根据作品分组征集情况成立评审委员会，对参赛作品进行评选，评选出进入省级终评的优秀作品。</w:t>
      </w:r>
    </w:p>
    <w:p w14:paraId="1DC1BF3B">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4.省级终评（11月25日前）</w:t>
      </w:r>
    </w:p>
    <w:p w14:paraId="3A3AD2CD">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由大赛终评委员会对入围作品的实物模型、交互或多媒体演示进行现场评审，评选出大赛各等级奖项。</w:t>
      </w:r>
    </w:p>
    <w:p w14:paraId="5655300C">
      <w:pPr>
        <w:widowControl w:val="0"/>
        <w:snapToGrid w:val="0"/>
        <w:spacing w:after="0" w:line="600" w:lineRule="exact"/>
        <w:ind w:firstLine="560" w:firstLineChars="200"/>
        <w:jc w:val="both"/>
        <w:rPr>
          <w:rFonts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十、评审方式与评分标准</w:t>
      </w:r>
    </w:p>
    <w:p w14:paraId="766A681E">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1.评审专家组组建</w:t>
      </w:r>
    </w:p>
    <w:p w14:paraId="6280BD9F">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（1）为提升大赛的参与性、专业性、公开性、公平性、公正性，评审专家组由省内具有研究生学位授权点高校或企事业单位相关领域专家组建，分复评组与终评组两类。</w:t>
      </w:r>
    </w:p>
    <w:p w14:paraId="3003B382">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（2）入选的评审专家应根据“湖南省高校研究生创新设计大赛评审专家推荐表”填写评审专家信息，11月15日前上报大赛组委会审核、备案。</w:t>
      </w:r>
    </w:p>
    <w:p w14:paraId="4125BFE3">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2.评审方式</w:t>
      </w:r>
    </w:p>
    <w:p w14:paraId="45B8568C">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（1）大赛组委会对参赛作品进行资格审查后，提交大赛各阶段评委会进行评审。</w:t>
      </w:r>
    </w:p>
    <w:p w14:paraId="2B2683E1">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（2）大赛评委会采取集体评议、评委打分方式，采取平均分制度对参赛作品进行评审。</w:t>
      </w:r>
    </w:p>
    <w:p w14:paraId="234711F7">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3.评分标准</w:t>
      </w:r>
    </w:p>
    <w:p w14:paraId="0FAB28F4">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（1）评奖坚持公平、公正、公开的原则，以质论奖。</w:t>
      </w:r>
    </w:p>
    <w:p w14:paraId="24D67682">
      <w:pPr>
        <w:widowControl w:val="0"/>
        <w:snapToGrid w:val="0"/>
        <w:spacing w:after="0" w:line="600" w:lineRule="exact"/>
        <w:ind w:firstLine="560" w:firstLineChars="200"/>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（2）作品应具有创新性、原创性、设计性、传播性、时效性及与主题的相关性。</w:t>
      </w:r>
    </w:p>
    <w:p w14:paraId="0CA5C599">
      <w:pPr>
        <w:widowControl w:val="0"/>
        <w:snapToGrid w:val="0"/>
        <w:spacing w:after="0" w:line="600" w:lineRule="exact"/>
        <w:jc w:val="both"/>
        <w:rPr>
          <w:rFonts w:ascii="黑体" w:hAnsi="黑体" w:eastAsia="黑体" w:cs="黑体"/>
          <w:sz w:val="28"/>
          <w:szCs w:val="28"/>
          <w:lang w:eastAsia="zh-CN"/>
        </w:rPr>
      </w:pPr>
      <w:r>
        <w:rPr>
          <w:rFonts w:hint="eastAsia" w:ascii="黑体" w:hAnsi="黑体" w:eastAsia="黑体" w:cs="黑体"/>
          <w:sz w:val="28"/>
          <w:szCs w:val="28"/>
          <w:lang w:eastAsia="zh-CN"/>
        </w:rPr>
        <w:t xml:space="preserve">    十一、参赛费用</w:t>
      </w:r>
    </w:p>
    <w:p w14:paraId="193A7DB5">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学生参赛免费。大赛组委会的工作费用由组委会自行解决，各参赛学校自行负担赛事宣传、作品寄送、模型制作等费用。可以争取社会赞助，邀请社会各界以协办的身份共同组织校级的竞赛活动。有赞助单位的竞赛，可以通过“赞助单位”、“协同育人单位”形式呈现，但不得以冠名形式呈现。</w:t>
      </w:r>
    </w:p>
    <w:p w14:paraId="7A741D06">
      <w:pPr>
        <w:widowControl w:val="0"/>
        <w:snapToGrid w:val="0"/>
        <w:spacing w:after="0" w:line="600" w:lineRule="exact"/>
        <w:jc w:val="both"/>
        <w:rPr>
          <w:rFonts w:ascii="黑体" w:hAnsi="黑体" w:eastAsia="黑体" w:cs="黑体"/>
          <w:sz w:val="28"/>
          <w:szCs w:val="28"/>
          <w:lang w:eastAsia="zh-CN"/>
        </w:rPr>
      </w:pPr>
      <w:r>
        <w:rPr>
          <w:rFonts w:hint="eastAsia" w:ascii="黑体" w:hAnsi="黑体" w:eastAsia="黑体" w:cs="黑体"/>
          <w:sz w:val="28"/>
          <w:szCs w:val="28"/>
          <w:lang w:eastAsia="zh-CN"/>
        </w:rPr>
        <w:t xml:space="preserve">   十二、其他事宜</w:t>
      </w:r>
    </w:p>
    <w:p w14:paraId="47247973">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1、参赛者须保证对其参赛作品所涉知识产权负完全责任，参赛及获奖作品一经发现存在抄袭或其它侵权行为，将取消其参赛及获奖资格，收回获奖证书并停赛一年，同时予以通报。</w:t>
      </w:r>
    </w:p>
    <w:p w14:paraId="064BFEE5">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2、为使大赛公平、公正、透明，大赛获奖作品将在组委会秘书处网站（https://syxy.usc.edu.cn/）进行公示，接受公众监督。对有异议的作品，可向大赛组委会秘书处举报。举报实行实名制，并要提供相应的证据（如抄袭作品来源等），匿名举报不予受理。</w:t>
      </w:r>
    </w:p>
    <w:p w14:paraId="2836F479">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3、未尽事宜另行通知。主办方对本次大赛和评奖保留最终解释权。</w:t>
      </w:r>
    </w:p>
    <w:p w14:paraId="1B027E8B">
      <w:pPr>
        <w:widowControl w:val="0"/>
        <w:snapToGrid w:val="0"/>
        <w:spacing w:after="0" w:line="600" w:lineRule="exact"/>
        <w:jc w:val="both"/>
        <w:rPr>
          <w:rFonts w:ascii="黑体" w:hAnsi="黑体" w:eastAsia="黑体" w:cs="黑体"/>
          <w:sz w:val="28"/>
          <w:szCs w:val="28"/>
          <w:lang w:eastAsia="zh-CN"/>
        </w:rPr>
      </w:pPr>
      <w:r>
        <w:rPr>
          <w:rFonts w:hint="eastAsia" w:ascii="黑体" w:hAnsi="黑体" w:eastAsia="黑体" w:cs="黑体"/>
          <w:sz w:val="28"/>
          <w:szCs w:val="28"/>
          <w:lang w:eastAsia="zh-CN"/>
        </w:rPr>
        <w:t xml:space="preserve">    十三、联系方式</w:t>
      </w:r>
    </w:p>
    <w:p w14:paraId="1F0C72CD">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2025年湖南省高校研究生创新设计大赛组委会秘书处</w:t>
      </w:r>
    </w:p>
    <w:p w14:paraId="32F60398">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地址：湖南省衡阳市蒸湘区衡祁路2</w:t>
      </w:r>
      <w:r>
        <w:rPr>
          <w:rFonts w:ascii="Times New Roman" w:hAnsi="Times New Roman" w:eastAsia="仿宋" w:cs="Times New Roman"/>
          <w:sz w:val="28"/>
          <w:szCs w:val="28"/>
          <w:lang w:eastAsia="zh-CN"/>
        </w:rPr>
        <w:t>28</w:t>
      </w:r>
      <w:r>
        <w:rPr>
          <w:rFonts w:hint="eastAsia" w:ascii="Times New Roman" w:hAnsi="Times New Roman" w:eastAsia="仿宋" w:cs="Times New Roman"/>
          <w:sz w:val="28"/>
          <w:szCs w:val="28"/>
          <w:lang w:eastAsia="zh-CN"/>
        </w:rPr>
        <w:t>号南华大学雨母校区崇礼楼南317办公室</w:t>
      </w:r>
    </w:p>
    <w:p w14:paraId="579280E0">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邮编：421001</w:t>
      </w:r>
    </w:p>
    <w:p w14:paraId="5FE12675">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电话：0734-8282292</w:t>
      </w:r>
    </w:p>
    <w:p w14:paraId="588AF88E">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联系人：周君（18711400125） 谭</w:t>
      </w:r>
      <w:r>
        <w:rPr>
          <w:rFonts w:hint="eastAsia" w:ascii="Times New Roman" w:hAnsi="Times New Roman" w:eastAsia="仿宋" w:cs="Times New Roman"/>
          <w:sz w:val="28"/>
          <w:szCs w:val="28"/>
          <w:lang w:val="en-US" w:eastAsia="zh-CN"/>
        </w:rPr>
        <w:t>维</w:t>
      </w:r>
      <w:r>
        <w:rPr>
          <w:rFonts w:hint="eastAsia" w:ascii="Times New Roman" w:hAnsi="Times New Roman" w:eastAsia="仿宋" w:cs="Times New Roman"/>
          <w:sz w:val="28"/>
          <w:szCs w:val="28"/>
          <w:lang w:eastAsia="zh-CN"/>
        </w:rPr>
        <w:t xml:space="preserve">（18373438597） </w:t>
      </w:r>
    </w:p>
    <w:p w14:paraId="23A3D91B">
      <w:pPr>
        <w:widowControl w:val="0"/>
        <w:snapToGrid w:val="0"/>
        <w:spacing w:after="0" w:line="600" w:lineRule="exact"/>
        <w:ind w:firstLine="560" w:firstLineChars="200"/>
        <w:jc w:val="both"/>
        <w:rPr>
          <w:rFonts w:ascii="Times New Roman" w:hAnsi="Times New Roman" w:eastAsia="Times New Roman" w:cs="Times New Roman"/>
          <w:spacing w:val="-1"/>
          <w:sz w:val="33"/>
          <w:szCs w:val="33"/>
        </w:rPr>
      </w:pPr>
      <w:r>
        <w:rPr>
          <w:rFonts w:hint="eastAsia" w:ascii="Times New Roman" w:hAnsi="Times New Roman" w:eastAsia="仿宋" w:cs="Times New Roman"/>
          <w:sz w:val="28"/>
          <w:szCs w:val="28"/>
          <w:lang w:eastAsia="zh-CN"/>
        </w:rPr>
        <w:t>秘书处邮箱：</w:t>
      </w:r>
      <w:r>
        <w:fldChar w:fldCharType="begin"/>
      </w:r>
      <w:r>
        <w:instrText xml:space="preserve"> HYPERLINK "mailto:695854406@qq.com" </w:instrText>
      </w:r>
      <w:r>
        <w:fldChar w:fldCharType="separate"/>
      </w:r>
      <w:r>
        <w:rPr>
          <w:rFonts w:hint="eastAsia" w:ascii="Times New Roman" w:hAnsi="Times New Roman" w:eastAsia="仿宋" w:cs="Times New Roman"/>
          <w:sz w:val="28"/>
          <w:szCs w:val="28"/>
          <w:lang w:eastAsia="zh-CN"/>
        </w:rPr>
        <w:t>565124867@qq.com</w:t>
      </w:r>
      <w:r>
        <w:rPr>
          <w:rFonts w:hint="eastAsia" w:ascii="Times New Roman" w:hAnsi="Times New Roman" w:eastAsia="仿宋" w:cs="Times New Roman"/>
          <w:sz w:val="28"/>
          <w:szCs w:val="28"/>
          <w:lang w:eastAsia="zh-CN"/>
        </w:rPr>
        <w:fldChar w:fldCharType="end"/>
      </w:r>
    </w:p>
    <w:p w14:paraId="5C520C8D">
      <w:pPr>
        <w:widowControl w:val="0"/>
        <w:snapToGrid w:val="0"/>
        <w:spacing w:after="0" w:line="600" w:lineRule="exact"/>
        <w:ind w:firstLine="560" w:firstLineChars="20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秘书处网站：https://syxy.usc.edu.cn/</w:t>
      </w:r>
    </w:p>
    <w:p w14:paraId="25A149E3">
      <w:pPr>
        <w:widowControl w:val="0"/>
        <w:snapToGrid w:val="0"/>
        <w:spacing w:after="0" w:line="600" w:lineRule="exact"/>
        <w:jc w:val="both"/>
        <w:rPr>
          <w:rFonts w:ascii="黑体" w:hAnsi="黑体" w:eastAsia="黑体" w:cs="黑体"/>
          <w:sz w:val="28"/>
          <w:szCs w:val="28"/>
          <w:lang w:eastAsia="zh-CN"/>
        </w:rPr>
      </w:pPr>
      <w:bookmarkStart w:id="0" w:name="_GoBack"/>
      <w:bookmarkEnd w:id="0"/>
    </w:p>
    <w:p w14:paraId="7E04A11D">
      <w:pPr>
        <w:rPr>
          <w:sz w:val="28"/>
          <w:szCs w:val="28"/>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8B96EE-F777-471D-9CBA-41253913FD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93A81BD8-9260-477C-9218-907B0A14479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NGRlM2I0N2QxNjk0ZWM0NDYyMjI2ZDljNjVkMjEifQ=="/>
  </w:docVars>
  <w:rsids>
    <w:rsidRoot w:val="00BC58EA"/>
    <w:rsid w:val="000D5517"/>
    <w:rsid w:val="00325B67"/>
    <w:rsid w:val="004F7D31"/>
    <w:rsid w:val="007150E7"/>
    <w:rsid w:val="00727B44"/>
    <w:rsid w:val="007427EB"/>
    <w:rsid w:val="0074357E"/>
    <w:rsid w:val="008C5447"/>
    <w:rsid w:val="008D28CE"/>
    <w:rsid w:val="009D1093"/>
    <w:rsid w:val="00B90233"/>
    <w:rsid w:val="00BC58EA"/>
    <w:rsid w:val="00C60030"/>
    <w:rsid w:val="00C72B50"/>
    <w:rsid w:val="00CB3B7D"/>
    <w:rsid w:val="00D015F3"/>
    <w:rsid w:val="00D3674B"/>
    <w:rsid w:val="00DC566E"/>
    <w:rsid w:val="00E75ED8"/>
    <w:rsid w:val="00E9369A"/>
    <w:rsid w:val="00EC0602"/>
    <w:rsid w:val="00FE1D3B"/>
    <w:rsid w:val="03197CC1"/>
    <w:rsid w:val="039B5116"/>
    <w:rsid w:val="04974587"/>
    <w:rsid w:val="09833A6A"/>
    <w:rsid w:val="0AD6392F"/>
    <w:rsid w:val="10394471"/>
    <w:rsid w:val="117511F0"/>
    <w:rsid w:val="153951E6"/>
    <w:rsid w:val="15FB06EE"/>
    <w:rsid w:val="181F4736"/>
    <w:rsid w:val="1C3420A9"/>
    <w:rsid w:val="24F7010C"/>
    <w:rsid w:val="2D3B78F6"/>
    <w:rsid w:val="310F2612"/>
    <w:rsid w:val="317D1C73"/>
    <w:rsid w:val="33CA3782"/>
    <w:rsid w:val="396E2BAA"/>
    <w:rsid w:val="3A211C22"/>
    <w:rsid w:val="3DB01874"/>
    <w:rsid w:val="3DCB4751"/>
    <w:rsid w:val="42666D6B"/>
    <w:rsid w:val="43390383"/>
    <w:rsid w:val="44E13C3D"/>
    <w:rsid w:val="4714323A"/>
    <w:rsid w:val="473964EB"/>
    <w:rsid w:val="473D6FA8"/>
    <w:rsid w:val="47784D54"/>
    <w:rsid w:val="4A7965BA"/>
    <w:rsid w:val="4C415015"/>
    <w:rsid w:val="4CB66B41"/>
    <w:rsid w:val="4F5C0152"/>
    <w:rsid w:val="504E09F4"/>
    <w:rsid w:val="53407165"/>
    <w:rsid w:val="5380503A"/>
    <w:rsid w:val="54CC4E94"/>
    <w:rsid w:val="56C6772F"/>
    <w:rsid w:val="579D2DD8"/>
    <w:rsid w:val="57AF29A1"/>
    <w:rsid w:val="57C410AC"/>
    <w:rsid w:val="582157B7"/>
    <w:rsid w:val="590407B6"/>
    <w:rsid w:val="5A960200"/>
    <w:rsid w:val="606A75CF"/>
    <w:rsid w:val="63462575"/>
    <w:rsid w:val="651D5984"/>
    <w:rsid w:val="666F1DE3"/>
    <w:rsid w:val="681C5653"/>
    <w:rsid w:val="68A175AA"/>
    <w:rsid w:val="6CDE43FF"/>
    <w:rsid w:val="6D2154B9"/>
    <w:rsid w:val="6DAF6F69"/>
    <w:rsid w:val="6F7B10D8"/>
    <w:rsid w:val="7AF91823"/>
    <w:rsid w:val="E6AFCB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ajorHAnsi" w:hAnsiTheme="majorHAnsi" w:eastAsiaTheme="majorEastAsia" w:cstheme="majorBidi"/>
      <w:sz w:val="22"/>
      <w:szCs w:val="22"/>
      <w:lang w:val="en-US" w:eastAsia="en-US" w:bidi="en-US"/>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semiHidden/>
    <w:unhideWhenUsed/>
    <w:qFormat/>
    <w:uiPriority w:val="0"/>
    <w:pPr>
      <w:spacing w:beforeAutospacing="1" w:after="0" w:afterAutospacing="1"/>
    </w:pPr>
    <w:rPr>
      <w:rFonts w:cs="Times New Roman"/>
      <w:sz w:val="24"/>
      <w:lang w:eastAsia="zh-CN" w:bidi="ar-SA"/>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nhideWhenUsed/>
    <w:qFormat/>
    <w:uiPriority w:val="0"/>
    <w:rPr>
      <w:color w:val="0563C1" w:themeColor="hyperlink"/>
      <w:u w:val="single"/>
      <w14:textFill>
        <w14:solidFill>
          <w14:schemeClr w14:val="hlink"/>
        </w14:solidFill>
      </w14:textFill>
    </w:rPr>
  </w:style>
  <w:style w:type="character" w:customStyle="1" w:styleId="10">
    <w:name w:val="页眉 Char"/>
    <w:basedOn w:val="6"/>
    <w:link w:val="3"/>
    <w:qFormat/>
    <w:uiPriority w:val="0"/>
    <w:rPr>
      <w:rFonts w:asciiTheme="majorHAnsi" w:hAnsiTheme="majorHAnsi" w:eastAsiaTheme="majorEastAsia" w:cstheme="majorBidi"/>
      <w:sz w:val="18"/>
      <w:szCs w:val="1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3663</Words>
  <Characters>3959</Characters>
  <Lines>29</Lines>
  <Paragraphs>8</Paragraphs>
  <TotalTime>151</TotalTime>
  <ScaleCrop>false</ScaleCrop>
  <LinksUpToDate>false</LinksUpToDate>
  <CharactersWithSpaces>4029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2022-11-22T19:38:00Z</dcterms:created>
  <dc:creator>admin</dc:creator>
  <cp:lastModifiedBy>Administrator</cp:lastModifiedBy>
  <dcterms:modified xsi:type="dcterms:W3CDTF">2025-09-26T03:34:28Z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6563AB0095E64B4A96CF594CB5D94C41_13</vt:lpwstr>
  </property>
  <property fmtid="{D5CDD505-2E9C-101B-9397-08002B2CF9AE}" pid="4" name="KSOTemplateDocerSaveRecord">
    <vt:lpwstr>eyJoZGlkIjoiNTMyYTE2Y2VjOWVkMDI2MWFhZmZhZjcyYjAzZGQwZWMifQ==</vt:lpwstr>
  </property>
</Properties>
</file>